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Belgique &amp; Guerre économique — Comprendre les enjeux (2025)</w:t>
      </w:r>
    </w:p>
    <w:p>
      <w:r>
        <w:t>Mise à jour : 2025-08-14</w:t>
        <w:br/>
        <w:br/>
      </w:r>
    </w:p>
    <w:p>
      <w:pPr>
        <w:pStyle w:val="Heading1"/>
      </w:pPr>
      <w:r>
        <w:t>TL;DR</w:t>
      </w:r>
    </w:p>
    <w:p>
      <w:pPr>
        <w:pStyle w:val="ListBullet"/>
      </w:pPr>
      <w:r>
        <w:t>Pas de panique, mais vigilance soutenue : la Belgique est très intégrée à l’UE/OTAN et a déjà résisté à des chocs (COVID, énergie).</w:t>
      </w:r>
    </w:p>
    <w:p>
      <w:pPr>
        <w:pStyle w:val="ListBullet"/>
      </w:pPr>
      <w:r>
        <w:t>Points forts : ports d’Anvers-Bruges, industrie pharma/chimie/agro, logistique, innovation, position géographique.</w:t>
      </w:r>
    </w:p>
    <w:p>
      <w:pPr>
        <w:pStyle w:val="ListBullet"/>
      </w:pPr>
      <w:r>
        <w:t>Points faibles : dépendances au commerce extérieur et à l’énergie importée, dette élevée, gouvernance fragmentée, vulnérabilité cyber.</w:t>
      </w:r>
    </w:p>
    <w:p>
      <w:pPr>
        <w:pStyle w:val="ListBullet"/>
      </w:pPr>
      <w:r>
        <w:t>Priorités : sécuriser le numérique, diversifier les approvisionnements (énergie, matières critiques, PAI), renforcer la coordination politique et la protection sociale.</w:t>
      </w:r>
    </w:p>
    <w:p>
      <w:pPr>
        <w:pStyle w:val="Heading1"/>
      </w:pPr>
      <w:r>
        <w:t>Aperçu</w:t>
      </w:r>
    </w:p>
    <w:p>
      <w:r>
        <w:t xml:space="preserve">La guerre économique désigne l’usage d’outils économiques (sanctions, tarifs, cyber, contrôle des ressources) pour affaiblir un pays. </w:t>
        <w:br/>
        <w:t xml:space="preserve">La Belgique, petite économie ouverte, combine atouts (logistique, pharma, innovation, ancrage européen) et vulnérabilités (dépendances critiques, dette, gouvernance complexe). </w:t>
        <w:br/>
        <w:t>La résilience repose sur la solidarité européenne, l’anticipation et la diversification.</w:t>
        <w:br/>
      </w:r>
    </w:p>
    <w:p>
      <w:pPr>
        <w:pStyle w:val="Heading1"/>
      </w:pPr>
      <w:r>
        <w:t>Forces clés</w:t>
      </w:r>
    </w:p>
    <w:p>
      <w:pPr>
        <w:pStyle w:val="ListBullet"/>
      </w:pPr>
      <w:r>
        <w:t>Ports d’Anvers-Bruges (hub européen), réseaux logistiques denses</w:t>
      </w:r>
    </w:p>
    <w:p>
      <w:pPr>
        <w:pStyle w:val="ListBullet"/>
      </w:pPr>
      <w:r>
        <w:t>Industries fortes : pharmaceutique, chimie, agroalimentaire</w:t>
      </w:r>
    </w:p>
    <w:p>
      <w:pPr>
        <w:pStyle w:val="ListBullet"/>
      </w:pPr>
      <w:r>
        <w:t>Écosystème R&amp;D (IMEC, biotech), main-d’œuvre qualifiée</w:t>
      </w:r>
    </w:p>
    <w:p>
      <w:pPr>
        <w:pStyle w:val="ListBullet"/>
      </w:pPr>
      <w:r>
        <w:t>Ancrage UE/OTAN (solidarité, marché unique, coordination)</w:t>
      </w:r>
    </w:p>
    <w:p>
      <w:pPr>
        <w:pStyle w:val="Heading1"/>
      </w:pPr>
      <w:r>
        <w:t>Vulnérabilités</w:t>
      </w:r>
    </w:p>
    <w:p>
      <w:pPr>
        <w:pStyle w:val="ListBullet"/>
      </w:pPr>
      <w:r>
        <w:t>Dépendance au commerce extérieur et à l’énergie importée</w:t>
      </w:r>
    </w:p>
    <w:p>
      <w:pPr>
        <w:pStyle w:val="ListBullet"/>
      </w:pPr>
      <w:r>
        <w:t>Dette publique élevée limitant la marge de manœuvre</w:t>
      </w:r>
    </w:p>
    <w:p>
      <w:pPr>
        <w:pStyle w:val="ListBullet"/>
      </w:pPr>
      <w:r>
        <w:t>Gouvernance fragmentée (réactivité décisionnelle)</w:t>
      </w:r>
    </w:p>
    <w:p>
      <w:pPr>
        <w:pStyle w:val="ListBullet"/>
      </w:pPr>
      <w:r>
        <w:t>Risque cyber élevé (opérateurs vitaux, administrations)</w:t>
      </w:r>
    </w:p>
    <w:p>
      <w:pPr>
        <w:pStyle w:val="ListBullet"/>
      </w:pPr>
      <w:r>
        <w:t>Autosuffisance alimentaire partielle (fruits/céréales/poissons)</w:t>
      </w:r>
    </w:p>
    <w:p>
      <w:pPr>
        <w:pStyle w:val="Heading1"/>
      </w:pPr>
      <w:r>
        <w:t>Indicateurs à surveiller</w:t>
      </w:r>
    </w:p>
    <w:p>
      <w:pPr>
        <w:pStyle w:val="ListBullet"/>
      </w:pPr>
      <w:r>
        <w:t>Annonces de sanctions/tarifs, PMI export en baisse</w:t>
      </w:r>
    </w:p>
    <w:p>
      <w:pPr>
        <w:pStyle w:val="ListBullet"/>
      </w:pPr>
      <w:r>
        <w:t>Alertes ELIA/Fluxys, hausse forte des prix gaz/élec</w:t>
      </w:r>
    </w:p>
    <w:p>
      <w:pPr>
        <w:pStyle w:val="ListBullet"/>
      </w:pPr>
      <w:r>
        <w:t>Bulletins CCB/NCCN, incidents NIS2, campagnes APT</w:t>
      </w:r>
    </w:p>
    <w:p>
      <w:pPr>
        <w:pStyle w:val="ListBullet"/>
      </w:pPr>
      <w:r>
        <w:t>Congestions portuaires, rallongement des temps d’escale</w:t>
      </w:r>
    </w:p>
    <w:p>
      <w:pPr>
        <w:pStyle w:val="ListBullet"/>
      </w:pPr>
      <w:r>
        <w:t>Écart OLO-Bund, messages agences de notation</w:t>
      </w:r>
    </w:p>
    <w:p>
      <w:pPr>
        <w:pStyle w:val="ListBullet"/>
      </w:pPr>
      <w:r>
        <w:t>Inflation alimentaire/énergie, tensions sociales</w:t>
      </w:r>
    </w:p>
    <w:p>
      <w:pPr>
        <w:pStyle w:val="Heading1"/>
      </w:pPr>
      <w:r>
        <w:t>Plan d’action — Quick wins (0–6 mois)</w:t>
      </w:r>
    </w:p>
    <w:p>
      <w:pPr>
        <w:pStyle w:val="ListBullet"/>
      </w:pPr>
      <w:r>
        <w:t>Cyber : MFA, sauvegardes isolées, exercices de réponse</w:t>
      </w:r>
    </w:p>
    <w:p>
      <w:pPr>
        <w:pStyle w:val="ListBullet"/>
      </w:pPr>
      <w:r>
        <w:t>Énergie : contrats GNL flexibles, sobriété ciblée industrie</w:t>
      </w:r>
    </w:p>
    <w:p>
      <w:pPr>
        <w:pStyle w:val="ListBullet"/>
      </w:pPr>
      <w:r>
        <w:t>Commerce/ports : plans de continuité, fenêtres prioritaires pour biens critiques</w:t>
      </w:r>
    </w:p>
    <w:p>
      <w:pPr>
        <w:pStyle w:val="ListBullet"/>
      </w:pPr>
      <w:r>
        <w:t>Matières critiques : stocks minimum, achats groupés UE, substitutions</w:t>
      </w:r>
    </w:p>
    <w:p>
      <w:pPr>
        <w:pStyle w:val="ListBullet"/>
      </w:pPr>
      <w:r>
        <w:t>Gouvernance : protocoles d’urgence prêts (NCCN/Comité de concertation)</w:t>
      </w:r>
    </w:p>
    <w:p>
      <w:pPr>
        <w:pStyle w:val="ListBullet"/>
      </w:pPr>
      <w:r>
        <w:t>Social : aides ciblées énergie/alimentation, médiation sociale</w:t>
      </w:r>
    </w:p>
    <w:p>
      <w:pPr>
        <w:pStyle w:val="Heading1"/>
      </w:pPr>
      <w:r>
        <w:t>Leviers structurants (6–36 mois)</w:t>
      </w:r>
    </w:p>
    <w:p>
      <w:pPr>
        <w:pStyle w:val="ListBullet"/>
      </w:pPr>
      <w:r>
        <w:t>Énergie : offshore &amp; interconnexions, capacité pilotable, hydrogène</w:t>
      </w:r>
    </w:p>
    <w:p>
      <w:pPr>
        <w:pStyle w:val="ListBullet"/>
      </w:pPr>
      <w:r>
        <w:t>Matières critiques : recyclage/raffinage (Umicore), IPCEI/CRMA</w:t>
      </w:r>
    </w:p>
    <w:p>
      <w:pPr>
        <w:pStyle w:val="ListBullet"/>
      </w:pPr>
      <w:r>
        <w:t>Numérique : SOC sectoriels, fibre &amp; compétences, multi‑cloud réversible</w:t>
      </w:r>
    </w:p>
    <w:p>
      <w:pPr>
        <w:pStyle w:val="ListBullet"/>
      </w:pPr>
      <w:r>
        <w:t>Logistique : rail/fluvial hinterland, SI portuaires redondants</w:t>
      </w:r>
    </w:p>
    <w:p>
      <w:pPr>
        <w:pStyle w:val="ListBullet"/>
      </w:pPr>
      <w:r>
        <w:t>Finances publiques : trajectoire crédible, gouvernance interfédérale</w:t>
      </w:r>
    </w:p>
    <w:p>
      <w:pPr>
        <w:pStyle w:val="Heading1"/>
      </w:pPr>
      <w:r>
        <w:t>Matrice de risques (vue synthétique)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ID</w:t>
            </w:r>
          </w:p>
        </w:tc>
        <w:tc>
          <w:tcPr>
            <w:tcW w:type="dxa" w:w="1234"/>
          </w:tcPr>
          <w:p>
            <w:r>
              <w:t>Risque</w:t>
            </w:r>
          </w:p>
        </w:tc>
        <w:tc>
          <w:tcPr>
            <w:tcW w:type="dxa" w:w="1234"/>
          </w:tcPr>
          <w:p>
            <w:r>
              <w:t>Horizon</w:t>
            </w:r>
          </w:p>
        </w:tc>
        <w:tc>
          <w:tcPr>
            <w:tcW w:type="dxa" w:w="1234"/>
          </w:tcPr>
          <w:p>
            <w:r>
              <w:t>Prob.</w:t>
            </w:r>
          </w:p>
        </w:tc>
        <w:tc>
          <w:tcPr>
            <w:tcW w:type="dxa" w:w="1234"/>
          </w:tcPr>
          <w:p>
            <w:r>
              <w:t>Impact</w:t>
            </w:r>
          </w:p>
        </w:tc>
        <w:tc>
          <w:tcPr>
            <w:tcW w:type="dxa" w:w="1234"/>
          </w:tcPr>
          <w:p>
            <w:r>
              <w:t>Statut</w:t>
            </w:r>
          </w:p>
        </w:tc>
        <w:tc>
          <w:tcPr>
            <w:tcW w:type="dxa" w:w="1234"/>
          </w:tcPr>
          <w:p>
            <w:r>
              <w:t>Score</w:t>
            </w:r>
          </w:p>
        </w:tc>
      </w:tr>
      <w:tr>
        <w:tc>
          <w:tcPr>
            <w:tcW w:type="dxa" w:w="1234"/>
          </w:tcPr>
          <w:p>
            <w:r>
              <w:t>R1</w:t>
            </w:r>
          </w:p>
        </w:tc>
        <w:tc>
          <w:tcPr>
            <w:tcW w:type="dxa" w:w="1234"/>
          </w:tcPr>
          <w:p>
            <w:r>
              <w:t>Choc commercial externe (tarifs/sanctions)</w:t>
            </w:r>
          </w:p>
        </w:tc>
        <w:tc>
          <w:tcPr>
            <w:tcW w:type="dxa" w:w="1234"/>
          </w:tcPr>
          <w:p>
            <w:r>
              <w:t>Court/Moyen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12</w:t>
            </w:r>
          </w:p>
        </w:tc>
      </w:tr>
      <w:tr>
        <w:tc>
          <w:tcPr>
            <w:tcW w:type="dxa" w:w="1234"/>
          </w:tcPr>
          <w:p>
            <w:r>
              <w:t>R2</w:t>
            </w:r>
          </w:p>
        </w:tc>
        <w:tc>
          <w:tcPr>
            <w:tcW w:type="dxa" w:w="1234"/>
          </w:tcPr>
          <w:p>
            <w:r>
              <w:t>Choc énergétique (prix/disponibilité)</w:t>
            </w:r>
          </w:p>
        </w:tc>
        <w:tc>
          <w:tcPr>
            <w:tcW w:type="dxa" w:w="1234"/>
          </w:tcPr>
          <w:p>
            <w:r>
              <w:t>Court/Moyen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12</w:t>
            </w:r>
          </w:p>
        </w:tc>
      </w:tr>
      <w:tr>
        <w:tc>
          <w:tcPr>
            <w:tcW w:type="dxa" w:w="1234"/>
          </w:tcPr>
          <w:p>
            <w:r>
              <w:t>R3</w:t>
            </w:r>
          </w:p>
        </w:tc>
        <w:tc>
          <w:tcPr>
            <w:tcW w:type="dxa" w:w="1234"/>
          </w:tcPr>
          <w:p>
            <w:r>
              <w:t>Cyberattaque sur infrastructures critiques</w:t>
            </w:r>
          </w:p>
        </w:tc>
        <w:tc>
          <w:tcPr>
            <w:tcW w:type="dxa" w:w="1234"/>
          </w:tcPr>
          <w:p>
            <w:r>
              <w:t>Court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Red</w:t>
            </w:r>
          </w:p>
        </w:tc>
        <w:tc>
          <w:tcPr>
            <w:tcW w:type="dxa" w:w="1234"/>
          </w:tcPr>
          <w:p>
            <w:r>
              <w:t>16</w:t>
            </w:r>
          </w:p>
        </w:tc>
      </w:tr>
      <w:tr>
        <w:tc>
          <w:tcPr>
            <w:tcW w:type="dxa" w:w="1234"/>
          </w:tcPr>
          <w:p>
            <w:r>
              <w:t>R4</w:t>
            </w:r>
          </w:p>
        </w:tc>
        <w:tc>
          <w:tcPr>
            <w:tcW w:type="dxa" w:w="1234"/>
          </w:tcPr>
          <w:p>
            <w:r>
              <w:t>Coupure matières premières critiques</w:t>
            </w:r>
          </w:p>
        </w:tc>
        <w:tc>
          <w:tcPr>
            <w:tcW w:type="dxa" w:w="1234"/>
          </w:tcPr>
          <w:p>
            <w:r>
              <w:t>Moyen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12</w:t>
            </w:r>
          </w:p>
        </w:tc>
      </w:tr>
      <w:tr>
        <w:tc>
          <w:tcPr>
            <w:tcW w:type="dxa" w:w="1234"/>
          </w:tcPr>
          <w:p>
            <w:r>
              <w:t>R5</w:t>
            </w:r>
          </w:p>
        </w:tc>
        <w:tc>
          <w:tcPr>
            <w:tcW w:type="dxa" w:w="1234"/>
          </w:tcPr>
          <w:p>
            <w:r>
              <w:t>Disruption pharma (tarifs US/réglementation)</w:t>
            </w:r>
          </w:p>
        </w:tc>
        <w:tc>
          <w:tcPr>
            <w:tcW w:type="dxa" w:w="1234"/>
          </w:tcPr>
          <w:p>
            <w:r>
              <w:t>Moyen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8</w:t>
            </w:r>
          </w:p>
        </w:tc>
      </w:tr>
      <w:tr>
        <w:tc>
          <w:tcPr>
            <w:tcW w:type="dxa" w:w="1234"/>
          </w:tcPr>
          <w:p>
            <w:r>
              <w:t>R6</w:t>
            </w:r>
          </w:p>
        </w:tc>
        <w:tc>
          <w:tcPr>
            <w:tcW w:type="dxa" w:w="1234"/>
          </w:tcPr>
          <w:p>
            <w:r>
              <w:t>Stress finances publiques (déficit/downgrade)</w:t>
            </w:r>
          </w:p>
        </w:tc>
        <w:tc>
          <w:tcPr>
            <w:tcW w:type="dxa" w:w="1234"/>
          </w:tcPr>
          <w:p>
            <w:r>
              <w:t>Moyen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9</w:t>
            </w:r>
          </w:p>
        </w:tc>
      </w:tr>
      <w:tr>
        <w:tc>
          <w:tcPr>
            <w:tcW w:type="dxa" w:w="1234"/>
          </w:tcPr>
          <w:p>
            <w:r>
              <w:t>R7</w:t>
            </w:r>
          </w:p>
        </w:tc>
        <w:tc>
          <w:tcPr>
            <w:tcW w:type="dxa" w:w="1234"/>
          </w:tcPr>
          <w:p>
            <w:r>
              <w:t>Disruption ports/logistique (congestion/arrêts)</w:t>
            </w:r>
          </w:p>
        </w:tc>
        <w:tc>
          <w:tcPr>
            <w:tcW w:type="dxa" w:w="1234"/>
          </w:tcPr>
          <w:p>
            <w:r>
              <w:t>Court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12</w:t>
            </w:r>
          </w:p>
        </w:tc>
      </w:tr>
      <w:tr>
        <w:tc>
          <w:tcPr>
            <w:tcW w:type="dxa" w:w="1234"/>
          </w:tcPr>
          <w:p>
            <w:r>
              <w:t>R8</w:t>
            </w:r>
          </w:p>
        </w:tc>
        <w:tc>
          <w:tcPr>
            <w:tcW w:type="dxa" w:w="1234"/>
          </w:tcPr>
          <w:p>
            <w:r>
              <w:t>Paralysie gouvernementale (coalitions lentes)</w:t>
            </w:r>
          </w:p>
        </w:tc>
        <w:tc>
          <w:tcPr>
            <w:tcW w:type="dxa" w:w="1234"/>
          </w:tcPr>
          <w:p>
            <w:r>
              <w:t>Court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9</w:t>
            </w:r>
          </w:p>
        </w:tc>
      </w:tr>
      <w:tr>
        <w:tc>
          <w:tcPr>
            <w:tcW w:type="dxa" w:w="1234"/>
          </w:tcPr>
          <w:p>
            <w:r>
              <w:t>R9</w:t>
            </w:r>
          </w:p>
        </w:tc>
        <w:tc>
          <w:tcPr>
            <w:tcW w:type="dxa" w:w="1234"/>
          </w:tcPr>
          <w:p>
            <w:r>
              <w:t>Choc social (inflation/pouvoir d’achat)</w:t>
            </w:r>
          </w:p>
        </w:tc>
        <w:tc>
          <w:tcPr>
            <w:tcW w:type="dxa" w:w="1234"/>
          </w:tcPr>
          <w:p>
            <w:r>
              <w:t>Court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9</w:t>
            </w:r>
          </w:p>
        </w:tc>
      </w:tr>
      <w:tr>
        <w:tc>
          <w:tcPr>
            <w:tcW w:type="dxa" w:w="1234"/>
          </w:tcPr>
          <w:p>
            <w:r>
              <w:t>R10</w:t>
            </w:r>
          </w:p>
        </w:tc>
        <w:tc>
          <w:tcPr>
            <w:tcW w:type="dxa" w:w="1234"/>
          </w:tcPr>
          <w:p>
            <w:r>
              <w:t>Fragmentation UE (solidarité affaiblie)</w:t>
            </w:r>
          </w:p>
        </w:tc>
        <w:tc>
          <w:tcPr>
            <w:tcW w:type="dxa" w:w="1234"/>
          </w:tcPr>
          <w:p>
            <w:r>
              <w:t>Moyen/Long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5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10</w:t>
            </w:r>
          </w:p>
        </w:tc>
      </w:tr>
      <w:tr>
        <w:tc>
          <w:tcPr>
            <w:tcW w:type="dxa" w:w="1234"/>
          </w:tcPr>
          <w:p>
            <w:r>
              <w:t>R11</w:t>
            </w:r>
          </w:p>
        </w:tc>
        <w:tc>
          <w:tcPr>
            <w:tcW w:type="dxa" w:w="1234"/>
          </w:tcPr>
          <w:p>
            <w:r>
              <w:t>Pénuries alimentaires ciblées</w:t>
            </w:r>
          </w:p>
        </w:tc>
        <w:tc>
          <w:tcPr>
            <w:tcW w:type="dxa" w:w="1234"/>
          </w:tcPr>
          <w:p>
            <w:r>
              <w:t>Moyen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Green/Amber</w:t>
            </w:r>
          </w:p>
        </w:tc>
        <w:tc>
          <w:tcPr>
            <w:tcW w:type="dxa" w:w="1234"/>
          </w:tcPr>
          <w:p>
            <w:r>
              <w:t>6</w:t>
            </w:r>
          </w:p>
        </w:tc>
      </w:tr>
      <w:tr>
        <w:tc>
          <w:tcPr>
            <w:tcW w:type="dxa" w:w="1234"/>
          </w:tcPr>
          <w:p>
            <w:r>
              <w:t>R12</w:t>
            </w:r>
          </w:p>
        </w:tc>
        <w:tc>
          <w:tcPr>
            <w:tcW w:type="dxa" w:w="1234"/>
          </w:tcPr>
          <w:p>
            <w:r>
              <w:t>Contagion financière/bancaire</w:t>
            </w:r>
          </w:p>
        </w:tc>
        <w:tc>
          <w:tcPr>
            <w:tcW w:type="dxa" w:w="1234"/>
          </w:tcPr>
          <w:p>
            <w:r>
              <w:t>Court/Moyen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8</w:t>
            </w:r>
          </w:p>
        </w:tc>
      </w:tr>
      <w:tr>
        <w:tc>
          <w:tcPr>
            <w:tcW w:type="dxa" w:w="1234"/>
          </w:tcPr>
          <w:p>
            <w:r>
              <w:t>R13</w:t>
            </w:r>
          </w:p>
        </w:tc>
        <w:tc>
          <w:tcPr>
            <w:tcW w:type="dxa" w:w="1234"/>
          </w:tcPr>
          <w:p>
            <w:r>
              <w:t>Dépendance fournisseurs télécom/IT</w:t>
            </w:r>
          </w:p>
        </w:tc>
        <w:tc>
          <w:tcPr>
            <w:tcW w:type="dxa" w:w="1234"/>
          </w:tcPr>
          <w:p>
            <w:r>
              <w:t>Moyen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Green</w:t>
            </w:r>
          </w:p>
        </w:tc>
        <w:tc>
          <w:tcPr>
            <w:tcW w:type="dxa" w:w="1234"/>
          </w:tcPr>
          <w:p>
            <w:r>
              <w:t>6</w:t>
            </w:r>
          </w:p>
        </w:tc>
      </w:tr>
      <w:tr>
        <w:tc>
          <w:tcPr>
            <w:tcW w:type="dxa" w:w="1234"/>
          </w:tcPr>
          <w:p>
            <w:r>
              <w:t>R14</w:t>
            </w:r>
          </w:p>
        </w:tc>
        <w:tc>
          <w:tcPr>
            <w:tcW w:type="dxa" w:w="1234"/>
          </w:tcPr>
          <w:p>
            <w:r>
              <w:t>Stress hydrique industriel</w:t>
            </w:r>
          </w:p>
        </w:tc>
        <w:tc>
          <w:tcPr>
            <w:tcW w:type="dxa" w:w="1234"/>
          </w:tcPr>
          <w:p>
            <w:r>
              <w:t>Long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Green</w:t>
            </w:r>
          </w:p>
        </w:tc>
        <w:tc>
          <w:tcPr>
            <w:tcW w:type="dxa" w:w="1234"/>
          </w:tcPr>
          <w:p>
            <w:r>
              <w:t>6</w:t>
            </w:r>
          </w:p>
        </w:tc>
      </w:tr>
      <w:tr>
        <w:tc>
          <w:tcPr>
            <w:tcW w:type="dxa" w:w="1234"/>
          </w:tcPr>
          <w:p>
            <w:r>
              <w:t>R15</w:t>
            </w:r>
          </w:p>
        </w:tc>
        <w:tc>
          <w:tcPr>
            <w:tcW w:type="dxa" w:w="1234"/>
          </w:tcPr>
          <w:p>
            <w:r>
              <w:t>Opérations d’influence/coercition économique</w:t>
            </w:r>
          </w:p>
        </w:tc>
        <w:tc>
          <w:tcPr>
            <w:tcW w:type="dxa" w:w="1234"/>
          </w:tcPr>
          <w:p>
            <w:r>
              <w:t>Court/Moyen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6</w:t>
            </w:r>
          </w:p>
        </w:tc>
      </w:tr>
      <w:tr>
        <w:tc>
          <w:tcPr>
            <w:tcW w:type="dxa" w:w="1234"/>
          </w:tcPr>
          <w:p>
            <w:r>
              <w:t>R16</w:t>
            </w:r>
          </w:p>
        </w:tc>
        <w:tc>
          <w:tcPr>
            <w:tcW w:type="dxa" w:w="1234"/>
          </w:tcPr>
          <w:p>
            <w:r>
              <w:t>Représailles réglementaires à l’étranger</w:t>
            </w:r>
          </w:p>
        </w:tc>
        <w:tc>
          <w:tcPr>
            <w:tcW w:type="dxa" w:w="1234"/>
          </w:tcPr>
          <w:p>
            <w:r>
              <w:t>Moyen</w:t>
            </w:r>
          </w:p>
        </w:tc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Amber</w:t>
            </w:r>
          </w:p>
        </w:tc>
        <w:tc>
          <w:tcPr>
            <w:tcW w:type="dxa" w:w="1234"/>
          </w:tcPr>
          <w:p>
            <w:r>
              <w:t>6</w:t>
            </w:r>
          </w:p>
        </w:tc>
      </w:tr>
    </w:tbl>
    <w:p>
      <w:pPr>
        <w:pStyle w:val="Heading1"/>
      </w:pPr>
      <w:r>
        <w:t>FAQ</w:t>
      </w:r>
    </w:p>
    <w:p>
      <w:r>
        <w:t xml:space="preserve">Faut‑il s’alarmer ? Plutôt rester en alerte active que paniquer. </w:t>
        <w:br/>
        <w:t>La Belgique dispose de leviers concrets si elle agit en amont (diversifier, sécuriser, coordonner) et s’appuie sur l’UE.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Belgique &amp; Guerre économique — Comprendre les enjeux (2025)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